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1" w:rsidRPr="00931FE1" w:rsidRDefault="00931FE1" w:rsidP="00931F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FE1">
        <w:rPr>
          <w:rFonts w:ascii="Times New Roman" w:hAnsi="Times New Roman" w:cs="Times New Roman"/>
          <w:b/>
          <w:sz w:val="26"/>
          <w:szCs w:val="26"/>
        </w:rPr>
        <w:t xml:space="preserve">ДОКЛАД  </w:t>
      </w:r>
    </w:p>
    <w:p w:rsidR="00931FE1" w:rsidRPr="00931FE1" w:rsidRDefault="00931FE1" w:rsidP="00931F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FE1">
        <w:rPr>
          <w:rFonts w:ascii="Times New Roman" w:hAnsi="Times New Roman" w:cs="Times New Roman"/>
          <w:b/>
          <w:sz w:val="26"/>
          <w:szCs w:val="26"/>
        </w:rPr>
        <w:t xml:space="preserve">ПО ПРАВОПРИМЕНИТЕЛЬНОЙ ПРАКТИКЕ </w:t>
      </w:r>
    </w:p>
    <w:p w:rsidR="00931FE1" w:rsidRPr="00931FE1" w:rsidRDefault="00931FE1" w:rsidP="00931F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FE1">
        <w:rPr>
          <w:rFonts w:ascii="Times New Roman" w:hAnsi="Times New Roman" w:cs="Times New Roman"/>
          <w:b/>
          <w:sz w:val="26"/>
          <w:szCs w:val="26"/>
        </w:rPr>
        <w:t>КИРОВСКОГО УФАС РОССИИ ПО СОБЛЮДЕНИЮ ЗАКОНОДАТЕЛЬСТВА О ЗАКУПКАХ</w:t>
      </w:r>
    </w:p>
    <w:p w:rsidR="00931FE1" w:rsidRPr="00931FE1" w:rsidRDefault="00931FE1" w:rsidP="00931F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FE1">
        <w:rPr>
          <w:rFonts w:ascii="Times New Roman" w:hAnsi="Times New Roman" w:cs="Times New Roman"/>
          <w:b/>
          <w:sz w:val="26"/>
          <w:szCs w:val="26"/>
        </w:rPr>
        <w:t xml:space="preserve">ЗА 4 КВАРТАЛ 2017 ГОДА </w:t>
      </w:r>
    </w:p>
    <w:p w:rsidR="00931FE1" w:rsidRPr="00380373" w:rsidRDefault="00931FE1" w:rsidP="00931FE1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ED661C" w:rsidRPr="00134E9A" w:rsidRDefault="0049709B" w:rsidP="00ED661C">
      <w:pPr>
        <w:pStyle w:val="ac"/>
        <w:spacing w:after="0"/>
        <w:ind w:right="282" w:firstLine="709"/>
        <w:jc w:val="both"/>
        <w:rPr>
          <w:sz w:val="24"/>
          <w:szCs w:val="24"/>
        </w:rPr>
      </w:pPr>
      <w:r w:rsidRPr="00134E9A">
        <w:rPr>
          <w:sz w:val="24"/>
          <w:szCs w:val="24"/>
        </w:rPr>
        <w:t xml:space="preserve">В рамках </w:t>
      </w:r>
      <w:proofErr w:type="gramStart"/>
      <w:r w:rsidRPr="00134E9A">
        <w:rPr>
          <w:sz w:val="24"/>
          <w:szCs w:val="24"/>
        </w:rPr>
        <w:t>контроля</w:t>
      </w:r>
      <w:r w:rsidR="00ED661C" w:rsidRPr="00134E9A">
        <w:rPr>
          <w:sz w:val="24"/>
          <w:szCs w:val="24"/>
        </w:rPr>
        <w:t xml:space="preserve"> за</w:t>
      </w:r>
      <w:proofErr w:type="gramEnd"/>
      <w:r w:rsidR="00ED661C" w:rsidRPr="00134E9A">
        <w:rPr>
          <w:sz w:val="24"/>
          <w:szCs w:val="24"/>
        </w:rPr>
        <w:t xml:space="preserve"> соблюдением требований законодательства о контрактной системе, </w:t>
      </w:r>
      <w:r w:rsidRPr="00134E9A">
        <w:rPr>
          <w:sz w:val="24"/>
          <w:szCs w:val="24"/>
        </w:rPr>
        <w:t xml:space="preserve"> антимонопольные органы осуществляют</w:t>
      </w:r>
      <w:r w:rsidR="00ED661C" w:rsidRPr="00134E9A">
        <w:rPr>
          <w:sz w:val="24"/>
          <w:szCs w:val="24"/>
        </w:rPr>
        <w:t xml:space="preserve"> рассмотрение жалоб участников закупок</w:t>
      </w:r>
      <w:r w:rsidRPr="00134E9A">
        <w:rPr>
          <w:sz w:val="24"/>
          <w:szCs w:val="24"/>
        </w:rPr>
        <w:t>, проведен</w:t>
      </w:r>
      <w:r w:rsidR="00ED661C" w:rsidRPr="00134E9A">
        <w:rPr>
          <w:sz w:val="24"/>
          <w:szCs w:val="24"/>
        </w:rPr>
        <w:t>ие плановых и внеплановых проверок</w:t>
      </w:r>
      <w:r w:rsidRPr="00134E9A">
        <w:rPr>
          <w:sz w:val="24"/>
          <w:szCs w:val="24"/>
        </w:rPr>
        <w:t xml:space="preserve">, </w:t>
      </w:r>
      <w:r w:rsidR="00ED661C" w:rsidRPr="00134E9A">
        <w:rPr>
          <w:sz w:val="24"/>
          <w:szCs w:val="24"/>
        </w:rPr>
        <w:t>согласование заключения контрактов с единственным поставщиком</w:t>
      </w:r>
      <w:r w:rsidRPr="00134E9A">
        <w:rPr>
          <w:sz w:val="24"/>
          <w:szCs w:val="24"/>
        </w:rPr>
        <w:t>,</w:t>
      </w:r>
      <w:r w:rsidR="00ED661C" w:rsidRPr="00134E9A">
        <w:rPr>
          <w:sz w:val="24"/>
          <w:szCs w:val="24"/>
        </w:rPr>
        <w:t xml:space="preserve"> рассмотрение материалов о включении сведений в Реестр недобросовестных поставщиков</w:t>
      </w:r>
      <w:r w:rsidRPr="00134E9A">
        <w:rPr>
          <w:sz w:val="24"/>
          <w:szCs w:val="24"/>
        </w:rPr>
        <w:t xml:space="preserve">, </w:t>
      </w:r>
      <w:r w:rsidR="00ED661C" w:rsidRPr="00134E9A">
        <w:rPr>
          <w:sz w:val="24"/>
          <w:szCs w:val="24"/>
        </w:rPr>
        <w:t xml:space="preserve"> возбуждение и рассмотрение административных дел.</w:t>
      </w:r>
    </w:p>
    <w:p w:rsidR="00134E9A" w:rsidRDefault="008829D6" w:rsidP="00134E9A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Основн</w:t>
      </w:r>
      <w:r w:rsidR="00ED661C" w:rsidRPr="00134E9A">
        <w:rPr>
          <w:rFonts w:ascii="Times New Roman" w:hAnsi="Times New Roman" w:cs="Times New Roman"/>
          <w:sz w:val="24"/>
          <w:szCs w:val="24"/>
        </w:rPr>
        <w:t>ые нарушения законодательства о контрактной системе</w:t>
      </w:r>
      <w:r w:rsidRPr="00134E9A">
        <w:rPr>
          <w:rFonts w:ascii="Times New Roman" w:hAnsi="Times New Roman" w:cs="Times New Roman"/>
          <w:sz w:val="24"/>
          <w:szCs w:val="24"/>
        </w:rPr>
        <w:t xml:space="preserve"> допускаются заказчиками при подготовке документации</w:t>
      </w:r>
      <w:r w:rsidR="00D83CB1" w:rsidRPr="00134E9A">
        <w:rPr>
          <w:rFonts w:ascii="Times New Roman" w:hAnsi="Times New Roman" w:cs="Times New Roman"/>
          <w:sz w:val="24"/>
          <w:szCs w:val="24"/>
        </w:rPr>
        <w:t xml:space="preserve"> (технических заданий) путем необъективного описания объекта закупки, установления избыточных характеристик, что не позволяет участникам правильно заполнить заявки. </w:t>
      </w:r>
      <w:r w:rsidR="00ED661C" w:rsidRPr="00134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9A" w:rsidRPr="0000649A" w:rsidRDefault="0000649A" w:rsidP="00EB27A3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недопущения подобных нарушений </w:t>
      </w:r>
      <w:r w:rsidRPr="0000649A">
        <w:rPr>
          <w:rFonts w:ascii="Times New Roman" w:hAnsi="Times New Roman" w:cs="Times New Roman"/>
          <w:sz w:val="24"/>
          <w:szCs w:val="24"/>
        </w:rPr>
        <w:t xml:space="preserve">при подготовке ТЗ заказчик должен изучить характеристики требуемого товара, определить наличие/отсутствие ГОСТ, </w:t>
      </w:r>
      <w:proofErr w:type="gramStart"/>
      <w:r w:rsidRPr="000064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0649A">
        <w:rPr>
          <w:rFonts w:ascii="Times New Roman" w:hAnsi="Times New Roman" w:cs="Times New Roman"/>
          <w:sz w:val="24"/>
          <w:szCs w:val="24"/>
        </w:rPr>
        <w:t>, производителей, поставщиков – для установления правильности изложения характеристик, а также обоснования НМЦК.</w:t>
      </w:r>
    </w:p>
    <w:p w:rsidR="0000649A" w:rsidRPr="0000649A" w:rsidRDefault="0000649A" w:rsidP="00EB27A3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правильности изложения характеристик участниками</w:t>
      </w:r>
      <w:r w:rsidR="00EB27A3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00649A">
        <w:rPr>
          <w:rFonts w:ascii="Times New Roman" w:hAnsi="Times New Roman" w:cs="Times New Roman"/>
          <w:sz w:val="24"/>
          <w:szCs w:val="24"/>
        </w:rPr>
        <w:t xml:space="preserve"> </w:t>
      </w:r>
      <w:r w:rsidR="00EB27A3">
        <w:rPr>
          <w:rFonts w:ascii="Times New Roman" w:hAnsi="Times New Roman" w:cs="Times New Roman"/>
          <w:sz w:val="24"/>
          <w:szCs w:val="24"/>
        </w:rPr>
        <w:t xml:space="preserve">заказчикам </w:t>
      </w:r>
      <w:r w:rsidRPr="0000649A">
        <w:rPr>
          <w:rFonts w:ascii="Times New Roman" w:hAnsi="Times New Roman" w:cs="Times New Roman"/>
          <w:sz w:val="24"/>
          <w:szCs w:val="24"/>
        </w:rPr>
        <w:t>необходимо подготовить инструкцию по заполнению заявки, в которой указать какие пункты ТЗ должны заполняться конкретными значениями, какие – диапазонными, какие – неизменяемые.</w:t>
      </w:r>
      <w:r w:rsidR="00EB27A3">
        <w:rPr>
          <w:rFonts w:ascii="Times New Roman" w:hAnsi="Times New Roman" w:cs="Times New Roman"/>
          <w:sz w:val="24"/>
          <w:szCs w:val="24"/>
        </w:rPr>
        <w:t xml:space="preserve">  По вопросу подготовки инструкций по заполнению заявок следует руководствоваться</w:t>
      </w:r>
      <w:r w:rsidRPr="0000649A">
        <w:rPr>
          <w:rFonts w:ascii="Times New Roman" w:hAnsi="Times New Roman" w:cs="Times New Roman"/>
          <w:sz w:val="24"/>
          <w:szCs w:val="24"/>
        </w:rPr>
        <w:t xml:space="preserve"> письмом ФАС России от 01.07.2016 №</w:t>
      </w:r>
      <w:r w:rsidRPr="0000649A">
        <w:rPr>
          <w:sz w:val="24"/>
          <w:szCs w:val="24"/>
        </w:rPr>
        <w:t xml:space="preserve"> </w:t>
      </w:r>
      <w:r w:rsidRPr="0000649A">
        <w:rPr>
          <w:rFonts w:ascii="Times New Roman" w:hAnsi="Times New Roman" w:cs="Times New Roman"/>
          <w:sz w:val="24"/>
          <w:szCs w:val="24"/>
        </w:rPr>
        <w:t>ИА/44536/16.</w:t>
      </w:r>
    </w:p>
    <w:p w:rsidR="00D5412E" w:rsidRDefault="00D5412E" w:rsidP="00134E9A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CB1" w:rsidRPr="00134E9A" w:rsidRDefault="00D83CB1" w:rsidP="00134E9A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Вместе с тем, при рассмотрении жалоб можно выделить  типичные нарушения требований законодательства о контрактной системе со стороны участников  закупок, которые не позволяют им побороться с остальными участниками за право заключить контракт.</w:t>
      </w:r>
    </w:p>
    <w:p w:rsidR="00D83CB1" w:rsidRPr="00134E9A" w:rsidRDefault="00846568" w:rsidP="00D83CB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П</w:t>
      </w:r>
      <w:r w:rsidR="00D83CB1" w:rsidRPr="00134E9A">
        <w:rPr>
          <w:rFonts w:ascii="Times New Roman" w:hAnsi="Times New Roman" w:cs="Times New Roman"/>
          <w:sz w:val="24"/>
          <w:szCs w:val="24"/>
        </w:rPr>
        <w:t>ри подаче заявки на участие в закупке допускаются  нарушения, которые влекут  отклонение заявки:</w:t>
      </w:r>
    </w:p>
    <w:p w:rsidR="00D83CB1" w:rsidRPr="00134E9A" w:rsidRDefault="00D83CB1" w:rsidP="00D83CB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 xml:space="preserve">1) отсутствие в составе заявки показателей, требующихся заказчику в соответствии с документацией о закупке, или их несоответствие заявленным требованиям или национальным стандартам, техническим регламентам; </w:t>
      </w:r>
    </w:p>
    <w:p w:rsidR="00D83CB1" w:rsidRPr="00134E9A" w:rsidRDefault="00D83CB1" w:rsidP="00D83CB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2) отсутствие  декларации о соответствии участника закупки единым требованиям, предусмотренным пунктами 7, 7.1 части 1 статьи 31 Закона о контрактной системе;</w:t>
      </w:r>
    </w:p>
    <w:p w:rsidR="00D83CB1" w:rsidRPr="00134E9A" w:rsidRDefault="00D83CB1" w:rsidP="00D83CB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3)  отсутствие в составе заявки декларации о принадлежности к субъектам малого предпринимательства и социально ориентированных некоммерческих организаций при условии, что такое ограничение участия содержалось в извещении о проведении закупки и документации о закупке.</w:t>
      </w:r>
    </w:p>
    <w:p w:rsidR="00134E9A" w:rsidRPr="00134E9A" w:rsidRDefault="00134E9A" w:rsidP="00134E9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Также   участниками закупок допускаются нарушения при заключении контрактов:</w:t>
      </w:r>
    </w:p>
    <w:p w:rsidR="00134E9A" w:rsidRPr="00134E9A" w:rsidRDefault="00134E9A" w:rsidP="00134E9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>1) не подписание контракта в установленные сроки;</w:t>
      </w:r>
    </w:p>
    <w:p w:rsidR="00134E9A" w:rsidRPr="00134E9A" w:rsidRDefault="00134E9A" w:rsidP="00134E9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E9A">
        <w:rPr>
          <w:rFonts w:ascii="Times New Roman" w:hAnsi="Times New Roman" w:cs="Times New Roman"/>
          <w:sz w:val="24"/>
          <w:szCs w:val="24"/>
        </w:rPr>
        <w:t>2) не представление заказчику надлежащего обеспечения исполнения контракта в установленный Законом о контрактной системе срок (например, отсутствие денежных средств на счёте для предоставления обеспечения исполнения контракта; предоставление  банковской гарантии, не соответствующей требованиям статей 45,96 Закона о контрактной системе (срок действия банковской гарантии составляет менее срока действия контракта, отсутствие банковской гарантии в Реестре банковских гарантий);</w:t>
      </w:r>
      <w:proofErr w:type="gramEnd"/>
    </w:p>
    <w:p w:rsidR="00134E9A" w:rsidRPr="00134E9A" w:rsidRDefault="00134E9A" w:rsidP="00134E9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9A">
        <w:rPr>
          <w:rFonts w:ascii="Times New Roman" w:hAnsi="Times New Roman" w:cs="Times New Roman"/>
          <w:sz w:val="24"/>
          <w:szCs w:val="24"/>
        </w:rPr>
        <w:t xml:space="preserve">3) направление протокола разногласий по истечении тринадцати дней </w:t>
      </w:r>
      <w:proofErr w:type="gramStart"/>
      <w:r w:rsidRPr="00134E9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134E9A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 протокола рассмотрения заявок на аукционе.</w:t>
      </w:r>
    </w:p>
    <w:p w:rsidR="00EB27A3" w:rsidRDefault="00EB27A3" w:rsidP="00134E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4F7" w:rsidRPr="00134E9A" w:rsidRDefault="00134E9A" w:rsidP="00134E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9A">
        <w:rPr>
          <w:rFonts w:ascii="Times New Roman" w:hAnsi="Times New Roman" w:cs="Times New Roman"/>
          <w:b/>
          <w:sz w:val="24"/>
          <w:szCs w:val="24"/>
        </w:rPr>
        <w:t xml:space="preserve">Изменения законодательства о контрактной системе, произошедшие в октябре – ноябре 2017 г. </w:t>
      </w:r>
    </w:p>
    <w:p w:rsidR="00545046" w:rsidRPr="007B6583" w:rsidRDefault="00D5412E" w:rsidP="0054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="00545046"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Федеральным законом от 27.11.2017 № 347-ФЗ </w:t>
      </w:r>
      <w:r w:rsidR="00545046"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 внесении изменений в статьи 2 и 11 Федерального закона "Об автономных учреждениях" и статью 30 Федерального закона "О </w:t>
      </w:r>
      <w:r w:rsidR="00545046"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установлен порядок осуществления авансовых платежей для бюджетных и автономных учреждений, аналогичный порядку, предусмотренному для получателей бюджетных средств.</w:t>
      </w:r>
      <w:proofErr w:type="gramEnd"/>
    </w:p>
    <w:p w:rsidR="00545046" w:rsidRPr="007B6583" w:rsidRDefault="00545046" w:rsidP="00545046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определено, что бюджетные и автономные учреждения должны соблюдать при заключении контрактов (договоров) на поставку товаров, выполнение работ, оказание услуг, правила установления авансовых платежей, предусмотренные правовыми актами, регулирующими бюджетные правоотношения, для получателей средств соответствующего бюджета.</w:t>
      </w:r>
    </w:p>
    <w:p w:rsidR="00545046" w:rsidRPr="007B6583" w:rsidRDefault="00545046" w:rsidP="00545046">
      <w:pPr>
        <w:spacing w:after="153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Федеральный закон вступил в силу 27 ноября 2017 года.</w:t>
      </w:r>
    </w:p>
    <w:p w:rsidR="00545046" w:rsidRPr="007B6583" w:rsidRDefault="00D5412E" w:rsidP="0054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="00545046"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Постановлением Правительства РФ от 06.10.2017 № 1217 "О внесении изменений в постановление Правительства Российской Федерации от 8 февраля 2017 г. № 145" </w:t>
      </w:r>
      <w:r w:rsidR="00545046"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изменены правила формирования и использования каталога товаров, работ, услуг при проведении закупок по </w:t>
      </w:r>
      <w:r w:rsidR="00545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№ </w:t>
      </w:r>
      <w:r w:rsidR="00545046"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44-ФЗ.</w:t>
      </w:r>
    </w:p>
    <w:p w:rsidR="00545046" w:rsidRPr="007B6583" w:rsidRDefault="00545046" w:rsidP="00545046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№ 1217 предусмотрена возможность формирования и ведения каталога, в том числе, путем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деятельности. Возможно включение в каталог информации из региональных информационных систем в сфере закупок.</w:t>
      </w:r>
    </w:p>
    <w:p w:rsidR="00545046" w:rsidRPr="007B6583" w:rsidRDefault="00545046" w:rsidP="00545046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Исключив у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поминание «технической поддержки пользователей каталога с использованием единого федерального номера "горячей линии" и электронной почты» из Постановления № 145, замени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обязанностью Минфина России осуществлять информационное сопровождение пользователей каталога.</w:t>
      </w:r>
    </w:p>
    <w:p w:rsidR="00545046" w:rsidRPr="007B6583" w:rsidRDefault="00545046" w:rsidP="00545046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количества товара, объема выполняемой работы, оказываемой услуги будут указаны в каталоге при их наличии.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содержащая описание товара, работы, услуги, будет включена в каталог, если такое описание сформировано, после согласования с Федеральной антимонопольной службой.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19 о включении в каталог дополнительной информации о конкретных товарах, работах, услугах, в том числе информация о характеристиках таких товаров, их производителях, торговых наименованиях, ценах из Постановления № 145 исключен. Кроме того, исключено упоминание о возможности использования ассортиментных наборов товаров, работ, услуг.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описание объекта закупки в каталоге будет включать потребительские свойства и иные характеристики товара, работы, услуги, сформированные следующим образом:</w:t>
      </w:r>
    </w:p>
    <w:p w:rsidR="00545046" w:rsidRPr="007B6583" w:rsidRDefault="00545046" w:rsidP="00545046">
      <w:pPr>
        <w:numPr>
          <w:ilvl w:val="0"/>
          <w:numId w:val="12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указанные характеристики имеют количественную оценку, то используются единицы измерения в соответствии с ОКЕИ;</w:t>
      </w:r>
    </w:p>
    <w:p w:rsidR="00545046" w:rsidRPr="007B6583" w:rsidRDefault="00545046" w:rsidP="005450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каждой характеристики, имеющей количественную оценку, указывается ее конкретное значение, или </w:t>
      </w:r>
      <w:r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конкретных значений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диапазоны допустимых значений (</w:t>
      </w:r>
      <w:r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минимально либо максимально допустимые значения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), или неизменяемые значения;</w:t>
      </w:r>
    </w:p>
    <w:p w:rsidR="00545046" w:rsidRPr="007B6583" w:rsidRDefault="00545046" w:rsidP="00545046">
      <w:pPr>
        <w:numPr>
          <w:ilvl w:val="0"/>
          <w:numId w:val="12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Напомним: заказчики обязаны использовать информацию из каталога, в частности, наименование, описание товара, работы, услуги, единицы измерения, при планировании закупок и размещении извещений в ЕИС, начиная с указанной в позиции каталога даты начала её обязательного применения (как правило, через 30 дней после включения новой позиции в каталог).</w:t>
      </w:r>
      <w:proofErr w:type="gramEnd"/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заказчик вправе указать дополнительные свойства и характеристики товара, которые не предусмотрены в позиции каталога. В случае предоставления иной и дополнительной информации в отношении свойств и характеристик объекта закупки,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каталоге соответствующая позиция товара, работы, услуги отсутствует, заказчик осуществляет описание объекта закупки по ранее действовавшим правилам, в соответствии со статьей 33 закона № 44-ФЗ.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24 ноября 2017 года на официальном сайте ЕИС в разделе «Новости» размещены разъяснения Федерального Казначейства по вопросам применения Каталога товаров, работ, услуг. В частности, отмечено, что код позиции каталога не полностью совпадает с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; 9 знаков ОКПД2 являются составной частью кода позиции каталога. Кроме того, Казначейство указало на возможность «уточнения» наименования товара, работы, услуги при заполнении сведений в реестре контрактов.</w:t>
      </w:r>
    </w:p>
    <w:p w:rsidR="00545046" w:rsidRPr="007B6583" w:rsidRDefault="00D5412E" w:rsidP="005450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="00545046"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Постановлением Правительства РФ от 26.10.2017 № 1299</w:t>
      </w:r>
      <w:r w:rsidR="00545046"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 "О внесении изменений в приложения № 1 и 2 к постановлению Правительства Российской Федерации от 11 августа 2014 г. № 791" дополнены перечни запрещенных к закупке иностранных товаров легкой промышленности.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перечень запрещенных к закупке иностранных товаров для федеральных нужд добавлена одежда защитная огнестойкая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32.99.11.140).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 аналогичном перечне товаров для обеспечения нужд субъектов РФ и муниципальных нужд вместо отдельных видов текстильных изделий (одеял, пледов, белья) включены укрупненные позиции каталога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5046" w:rsidRPr="007B6583" w:rsidRDefault="00545046" w:rsidP="00545046">
      <w:pPr>
        <w:numPr>
          <w:ilvl w:val="0"/>
          <w:numId w:val="13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текстильные готовые (кроме одежды)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13.92);</w:t>
      </w:r>
    </w:p>
    <w:p w:rsidR="00545046" w:rsidRPr="007B6583" w:rsidRDefault="00545046" w:rsidP="00545046">
      <w:pPr>
        <w:numPr>
          <w:ilvl w:val="0"/>
          <w:numId w:val="13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текстильные технического назначения прочие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13.96);</w:t>
      </w:r>
    </w:p>
    <w:p w:rsidR="00545046" w:rsidRPr="007B6583" w:rsidRDefault="00545046" w:rsidP="00545046">
      <w:pPr>
        <w:numPr>
          <w:ilvl w:val="0"/>
          <w:numId w:val="13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текстильные прочие, не включенные в другие группировки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13.99);</w:t>
      </w:r>
    </w:p>
    <w:p w:rsidR="00545046" w:rsidRPr="007B6583" w:rsidRDefault="00545046" w:rsidP="00545046">
      <w:pPr>
        <w:numPr>
          <w:ilvl w:val="0"/>
          <w:numId w:val="13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спецодежда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14.12);</w:t>
      </w:r>
    </w:p>
    <w:p w:rsidR="00545046" w:rsidRPr="007B6583" w:rsidRDefault="00545046" w:rsidP="00545046">
      <w:pPr>
        <w:numPr>
          <w:ilvl w:val="0"/>
          <w:numId w:val="13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верхняя прочая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14.13);</w:t>
      </w:r>
    </w:p>
    <w:p w:rsidR="00545046" w:rsidRPr="007B6583" w:rsidRDefault="00545046" w:rsidP="00545046">
      <w:pPr>
        <w:numPr>
          <w:ilvl w:val="0"/>
          <w:numId w:val="13"/>
        </w:numPr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защитная огнестойкая (код ОКПД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32.99.11.140).</w:t>
      </w:r>
    </w:p>
    <w:p w:rsidR="00545046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что в Постановлении Правительства РФ от 11.08.2014 №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 предусмотрены исключения для товаров из Евразийского экономического союза, а также к участникам закупки таких товаров предусмотрено дополнительное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требование об использовании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союза.</w:t>
      </w:r>
    </w:p>
    <w:p w:rsidR="006E07F6" w:rsidRPr="006E07F6" w:rsidRDefault="00C472DA" w:rsidP="006E07F6">
      <w:pPr>
        <w:spacing w:before="230" w:after="230" w:line="30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6E0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01 декабря 2017 вступил в силу запрет на госзакупки иностранной мебели, введенный</w:t>
      </w:r>
      <w:r w:rsidR="006E07F6" w:rsidRPr="006E0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постановлением Правительства РФ от 05.09.2017 № 1072. </w:t>
      </w:r>
      <w:r w:rsidR="006E07F6" w:rsidRPr="006E07F6">
        <w:rPr>
          <w:rFonts w:ascii="Times New Roman" w:hAnsi="Times New Roman" w:cs="Times New Roman"/>
          <w:color w:val="000000"/>
          <w:sz w:val="24"/>
          <w:szCs w:val="24"/>
        </w:rPr>
        <w:t>Запрет касается всех видов закупок и будет действовать два года.</w:t>
      </w:r>
    </w:p>
    <w:p w:rsidR="006E07F6" w:rsidRPr="006E07F6" w:rsidRDefault="006E07F6" w:rsidP="006E07F6">
      <w:pPr>
        <w:spacing w:before="230" w:after="23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07F6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товары мебельной и деревообрабатывающей промышленности, которые заказчики не смогут закупать, перечислены </w:t>
      </w:r>
      <w:r w:rsidRPr="006E07F6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6E07F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специальном перечне</w:t>
        </w:r>
      </w:hyperlink>
      <w:r w:rsidRPr="006E07F6">
        <w:rPr>
          <w:rFonts w:ascii="Times New Roman" w:hAnsi="Times New Roman" w:cs="Times New Roman"/>
          <w:sz w:val="24"/>
          <w:szCs w:val="24"/>
        </w:rPr>
        <w:t>. В него входят 29 позиций, среди которых деревянная и металлическая офисная мебель.</w:t>
      </w:r>
    </w:p>
    <w:p w:rsidR="006E07F6" w:rsidRPr="006E07F6" w:rsidRDefault="006E07F6" w:rsidP="006E07F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E07F6">
        <w:lastRenderedPageBreak/>
        <w:t>Кроме того, при закупке товаров из указанного перечня заказчик</w:t>
      </w:r>
      <w:r w:rsidRPr="006E07F6">
        <w:rPr>
          <w:rStyle w:val="apple-converted-space"/>
        </w:rPr>
        <w:t> </w:t>
      </w:r>
      <w:hyperlink r:id="rId9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должен потребовать</w:t>
        </w:r>
      </w:hyperlink>
      <w:r w:rsidRPr="006E07F6">
        <w:rPr>
          <w:rStyle w:val="apple-converted-space"/>
        </w:rPr>
        <w:t> </w:t>
      </w:r>
      <w:r w:rsidRPr="006E07F6">
        <w:t>от участников использовать для изготовления плиты из России или из государства — члена ЕАЭС. Эти плиты указаны в позициях</w:t>
      </w:r>
      <w:r w:rsidRPr="006E07F6">
        <w:rPr>
          <w:rStyle w:val="apple-converted-space"/>
        </w:rPr>
        <w:t> </w:t>
      </w:r>
      <w:hyperlink r:id="rId10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1</w:t>
        </w:r>
      </w:hyperlink>
      <w:r w:rsidRPr="006E07F6">
        <w:rPr>
          <w:rStyle w:val="apple-converted-space"/>
        </w:rPr>
        <w:t> </w:t>
      </w:r>
      <w:r w:rsidRPr="006E07F6">
        <w:t>и</w:t>
      </w:r>
      <w:r w:rsidRPr="006E07F6">
        <w:rPr>
          <w:rStyle w:val="apple-converted-space"/>
        </w:rPr>
        <w:t> </w:t>
      </w:r>
      <w:hyperlink r:id="rId11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2</w:t>
        </w:r>
      </w:hyperlink>
      <w:r w:rsidRPr="006E07F6">
        <w:t>перечня.</w:t>
      </w:r>
    </w:p>
    <w:p w:rsidR="006E07F6" w:rsidRPr="006E07F6" w:rsidRDefault="006E07F6" w:rsidP="006E07F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E07F6">
        <w:t>Запрет на закупку</w:t>
      </w:r>
      <w:r w:rsidRPr="006E07F6">
        <w:rPr>
          <w:rStyle w:val="apple-converted-space"/>
        </w:rPr>
        <w:t> </w:t>
      </w:r>
      <w:hyperlink r:id="rId12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не коснется</w:t>
        </w:r>
      </w:hyperlink>
      <w:r w:rsidRPr="006E07F6">
        <w:rPr>
          <w:rStyle w:val="apple-converted-space"/>
        </w:rPr>
        <w:t> </w:t>
      </w:r>
      <w:r w:rsidRPr="006E07F6">
        <w:t>иностранных товаров и мебели:</w:t>
      </w:r>
    </w:p>
    <w:p w:rsidR="006E07F6" w:rsidRPr="006E07F6" w:rsidRDefault="006E07F6" w:rsidP="006E07F6">
      <w:pPr>
        <w:numPr>
          <w:ilvl w:val="0"/>
          <w:numId w:val="16"/>
        </w:numPr>
        <w:shd w:val="clear" w:color="auto" w:fill="FFFFFF"/>
        <w:spacing w:after="120" w:line="240" w:lineRule="auto"/>
        <w:ind w:left="28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7F6">
        <w:rPr>
          <w:rFonts w:ascii="Times New Roman" w:hAnsi="Times New Roman" w:cs="Times New Roman"/>
          <w:sz w:val="24"/>
          <w:szCs w:val="24"/>
        </w:rPr>
        <w:t>происходящих из государств — членов ЕАЭС;</w:t>
      </w:r>
    </w:p>
    <w:p w:rsidR="006E07F6" w:rsidRPr="006E07F6" w:rsidRDefault="006E07F6" w:rsidP="006E07F6">
      <w:pPr>
        <w:numPr>
          <w:ilvl w:val="0"/>
          <w:numId w:val="16"/>
        </w:numPr>
        <w:shd w:val="clear" w:color="auto" w:fill="FFFFFF"/>
        <w:spacing w:after="0" w:line="240" w:lineRule="auto"/>
        <w:ind w:left="28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E07F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E07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6E07F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требованиям</w:t>
        </w:r>
      </w:hyperlink>
      <w:r w:rsidRPr="006E07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07F6">
        <w:rPr>
          <w:rFonts w:ascii="Times New Roman" w:hAnsi="Times New Roman" w:cs="Times New Roman"/>
          <w:sz w:val="24"/>
          <w:szCs w:val="24"/>
        </w:rPr>
        <w:t>к промышленной продукции. Отметим, требование о месте выполнения производственных операций не действует;</w:t>
      </w:r>
    </w:p>
    <w:p w:rsidR="006E07F6" w:rsidRPr="006E07F6" w:rsidRDefault="006E07F6" w:rsidP="006E07F6">
      <w:pPr>
        <w:numPr>
          <w:ilvl w:val="0"/>
          <w:numId w:val="16"/>
        </w:numPr>
        <w:shd w:val="clear" w:color="auto" w:fill="FFFFFF"/>
        <w:spacing w:after="0" w:line="240" w:lineRule="auto"/>
        <w:ind w:left="28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7F6">
        <w:rPr>
          <w:rFonts w:ascii="Times New Roman" w:hAnsi="Times New Roman" w:cs="Times New Roman"/>
          <w:sz w:val="24"/>
          <w:szCs w:val="24"/>
        </w:rPr>
        <w:t>произведенных по специальному инвестиционному контракту при соблюдении ряда</w:t>
      </w:r>
      <w:r w:rsidRPr="006E07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6E07F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условий</w:t>
        </w:r>
      </w:hyperlink>
      <w:r w:rsidRPr="006E07F6">
        <w:rPr>
          <w:rFonts w:ascii="Times New Roman" w:hAnsi="Times New Roman" w:cs="Times New Roman"/>
          <w:sz w:val="24"/>
          <w:szCs w:val="24"/>
        </w:rPr>
        <w:t>.</w:t>
      </w:r>
    </w:p>
    <w:p w:rsidR="006E07F6" w:rsidRPr="006E07F6" w:rsidRDefault="006E07F6" w:rsidP="006E07F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E07F6">
        <w:t>Документы, которыми участник может подтвердить, что иностранный товар не подпадает под запрет, перечислены в п. п.</w:t>
      </w:r>
      <w:r w:rsidRPr="006E07F6">
        <w:rPr>
          <w:rStyle w:val="apple-converted-space"/>
        </w:rPr>
        <w:t> </w:t>
      </w:r>
      <w:hyperlink r:id="rId15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2</w:t>
        </w:r>
      </w:hyperlink>
      <w:r w:rsidRPr="006E07F6">
        <w:t>—</w:t>
      </w:r>
      <w:hyperlink r:id="rId16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4</w:t>
        </w:r>
      </w:hyperlink>
      <w:r w:rsidRPr="006E07F6">
        <w:rPr>
          <w:rStyle w:val="apple-converted-space"/>
        </w:rPr>
        <w:t> </w:t>
      </w:r>
      <w:r w:rsidRPr="006E07F6">
        <w:t>правительственных критериев. Одним из них является сертификат о происхождении товара по</w:t>
      </w:r>
      <w:r w:rsidRPr="006E07F6">
        <w:rPr>
          <w:rStyle w:val="apple-converted-space"/>
        </w:rPr>
        <w:t> </w:t>
      </w:r>
      <w:hyperlink r:id="rId17" w:history="1">
        <w:r w:rsidRPr="006E07F6">
          <w:rPr>
            <w:rStyle w:val="af"/>
            <w:rFonts w:eastAsiaTheme="minorHAnsi"/>
            <w:color w:val="auto"/>
            <w:u w:val="none"/>
            <w:bdr w:val="none" w:sz="0" w:space="0" w:color="auto" w:frame="1"/>
          </w:rPr>
          <w:t>форме СТ-1</w:t>
        </w:r>
      </w:hyperlink>
      <w:r w:rsidRPr="006E07F6">
        <w:t>.</w:t>
      </w:r>
    </w:p>
    <w:p w:rsidR="006E07F6" w:rsidRPr="006E07F6" w:rsidRDefault="006E07F6" w:rsidP="006E07F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45046" w:rsidRPr="007B6583" w:rsidRDefault="00C472DA" w:rsidP="005450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D5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545046"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Постановлением Правительства РФ от 15.11.2017 № 1380 </w:t>
      </w:r>
      <w:r w:rsidR="00545046"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 установлены дополнительные требования к описанию лекарственных препаратов в документации о закупке в целях недопущения ограничения конкуренции при таких закупках.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№ 1380 предусмотрена обязанность заказчика указывать:</w:t>
      </w:r>
    </w:p>
    <w:p w:rsidR="00545046" w:rsidRPr="007B6583" w:rsidRDefault="00545046" w:rsidP="0054504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лекарственную форму препарата, </w:t>
      </w: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proofErr w:type="gram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 </w:t>
      </w:r>
      <w:r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эквивалентные лекарственные формы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5046" w:rsidRPr="007B6583" w:rsidRDefault="00545046" w:rsidP="0054504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дозировку лекарственного препарата с возможностью поставки лекарственного препарата </w:t>
      </w:r>
      <w:r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кратной дозировке и двойном количестве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5046" w:rsidRPr="007B6583" w:rsidRDefault="00545046" w:rsidP="0054504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остаточный срок годности лекарственного препарата, </w:t>
      </w:r>
      <w:r w:rsidRPr="007B6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выраженный в единицах измерения времени</w:t>
      </w: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правила предусмотрены для лекарственных препаратов, закупаемых в картриджах, совместимых с устройствами введения (применения), многокомпонентных (комбинированных) лекарственных препаратов, лекарственных препаратов в формах выпуска: "шприц", "</w:t>
      </w:r>
      <w:proofErr w:type="spellStart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преднаполненный</w:t>
      </w:r>
      <w:proofErr w:type="spellEnd"/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шприц", "шприц-тюбик", "шприц-ручка"; а также для закупки лекарственных препаратов, предназначенных исключительно для использования в педиатрической практике.</w:t>
      </w:r>
      <w:proofErr w:type="gramEnd"/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 в документации указать на возможность поставки отдельных компонентов необходимой ему комплектации, если для приема лекарства необходимы инструменты для вскрытия ампул, растворители или устройства для разведения и введения лекарственного препарата.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№ 1380, с учетом судебной практики, предусмотрена возможность в исключительных случаях осуществлять закупку лекарственного препарата по торговому наименованию (индивидуальная непереносимость, по жизненным показаниям).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указывать при описании лекарственного препарата характеристики, указывающие на конкретного производителя, например, наличие (отсутствие) вспомогательных веществ, количество единиц (таблеток, ампул) во вторичной упаковке и др. с некоторыми исключениями, которые требуют специального обоснования.</w:t>
      </w:r>
    </w:p>
    <w:p w:rsidR="00545046" w:rsidRPr="007B6583" w:rsidRDefault="00545046" w:rsidP="00545046">
      <w:pPr>
        <w:spacing w:before="230" w:after="23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№ 1380 вступает в силу с 1 января 2018 года.</w:t>
      </w:r>
    </w:p>
    <w:p w:rsidR="00545046" w:rsidRPr="00C50EBC" w:rsidRDefault="00D5412E" w:rsidP="00545046">
      <w:pPr>
        <w:pStyle w:val="ae"/>
        <w:spacing w:before="0" w:beforeAutospacing="0" w:after="0" w:afterAutospacing="0" w:line="306" w:lineRule="atLeast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6) </w:t>
      </w:r>
      <w:r w:rsidR="00545046" w:rsidRPr="00C50EBC">
        <w:rPr>
          <w:b/>
          <w:bCs/>
          <w:color w:val="000000"/>
        </w:rPr>
        <w:t>Приказом Министерства здравоохранения Российской Федерации, Министерства промышленности и торговли Российской Федерации от 04.10.2017 № 759н/3450</w:t>
      </w:r>
      <w:r w:rsidR="00545046" w:rsidRPr="00C50EBC">
        <w:rPr>
          <w:color w:val="000000"/>
        </w:rPr>
        <w:t xml:space="preserve"> "Об утверждении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</w:t>
      </w:r>
      <w:r w:rsidR="00545046" w:rsidRPr="00C50EBC">
        <w:rPr>
          <w:color w:val="000000"/>
        </w:rPr>
        <w:lastRenderedPageBreak/>
        <w:t>обеспечения государственных и муниципальных нужд, утвержденный</w:t>
      </w:r>
      <w:proofErr w:type="gramEnd"/>
      <w:r w:rsidR="00545046" w:rsidRPr="00C50EBC">
        <w:rPr>
          <w:color w:val="000000"/>
        </w:rPr>
        <w:t xml:space="preserve"> постановлением Правительства Российской Федерации от 5 февраля 2015 г. № 102", утверждена соответствующая методика, обязательная при расчете НМЦК на закупаемые медицинские изделия.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В соответствии с Методикой начальная (максимальная) цена медицинского изделия определяется исходя из средневзвешенной цены такого изделия, уровня инфляции на соответствующий финансовый год и степени локализации производства медицинского изделия.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 xml:space="preserve">Средневзвешенная цена медицинского изделия рассчитывается Аналитическим центром при Правительстве Российской Федерации и ежегодно до 1 ноября представляется в Минздрав для размещения на официальном сайте в сети "Интернет". Коэффициент локализации производства рассчитывается </w:t>
      </w:r>
      <w:proofErr w:type="spellStart"/>
      <w:r w:rsidRPr="00C50EBC">
        <w:rPr>
          <w:color w:val="000000"/>
        </w:rPr>
        <w:t>Минпромторгом</w:t>
      </w:r>
      <w:proofErr w:type="spellEnd"/>
      <w:r w:rsidRPr="00C50EBC">
        <w:rPr>
          <w:color w:val="000000"/>
        </w:rPr>
        <w:t xml:space="preserve"> с учетом графика реализации комплексного проекта по расширению и (или) локализации производства медицинских изделий и до 1 ноября размещается на официальном сайте Минздрава.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Приказ № 759н/3450 вступил в силу 7 ноября 2017 года.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 xml:space="preserve">Необходимые составляющие для расчета НМЦК указаны в письме Минздрава России от 31.10.2017 № 25-0/10/1-7122 и в письме </w:t>
      </w:r>
      <w:proofErr w:type="spellStart"/>
      <w:r w:rsidRPr="00C50EBC">
        <w:rPr>
          <w:color w:val="000000"/>
        </w:rPr>
        <w:t>Минпромторга</w:t>
      </w:r>
      <w:proofErr w:type="spellEnd"/>
      <w:r w:rsidRPr="00C50EBC">
        <w:rPr>
          <w:color w:val="000000"/>
        </w:rPr>
        <w:t xml:space="preserve"> России от 31.10.2017 № ЦС-71651/19.</w:t>
      </w:r>
    </w:p>
    <w:p w:rsidR="00545046" w:rsidRPr="00C50EBC" w:rsidRDefault="00D5412E" w:rsidP="00545046">
      <w:pPr>
        <w:pStyle w:val="ae"/>
        <w:spacing w:before="0" w:beforeAutospacing="0" w:after="0" w:afterAutospacing="0" w:line="306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7) </w:t>
      </w:r>
      <w:r w:rsidR="00545046" w:rsidRPr="00C50EBC">
        <w:rPr>
          <w:b/>
          <w:bCs/>
          <w:color w:val="000000"/>
        </w:rPr>
        <w:t>Приказом Министерства здравоохранения РФ от 26 октября 2017 г. № 871н</w:t>
      </w:r>
      <w:r w:rsidR="00545046" w:rsidRPr="00C50EBC">
        <w:rPr>
          <w:color w:val="000000"/>
        </w:rPr>
        <w:t> </w:t>
      </w:r>
      <w:r w:rsidR="00545046" w:rsidRPr="00C50EBC">
        <w:rPr>
          <w:b/>
          <w:bCs/>
          <w:color w:val="000000"/>
        </w:rPr>
        <w:t>“Об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</w:t>
      </w:r>
      <w:r w:rsidR="00545046" w:rsidRPr="00C50EBC">
        <w:rPr>
          <w:color w:val="000000"/>
        </w:rPr>
        <w:t> для медицинского применения” утвержден соответствующий порядок обоснования НМЦК для закупок лекарственных препаратов.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 xml:space="preserve">Цена единицы планируемого к закупке лекарственного препарата устанавливается по одному наименованию (международному непатентованному наименованию, при отсутствии такого наименования - по </w:t>
      </w:r>
      <w:proofErr w:type="spellStart"/>
      <w:r w:rsidRPr="00C50EBC">
        <w:rPr>
          <w:color w:val="000000"/>
        </w:rPr>
        <w:t>группировочному</w:t>
      </w:r>
      <w:proofErr w:type="spellEnd"/>
      <w:r w:rsidRPr="00C50EBC">
        <w:rPr>
          <w:color w:val="000000"/>
        </w:rPr>
        <w:t xml:space="preserve"> или химическому наименованию, а также составу комбинированного лекарственного препарата) с учетом эквивалентных лекарственных форм и дозировок.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proofErr w:type="gramStart"/>
      <w:r w:rsidRPr="00C50EBC">
        <w:rPr>
          <w:color w:val="000000"/>
        </w:rPr>
        <w:t xml:space="preserve">Заказчик должен рассчитать цену единицы препарата тремя предусмотренными Приказом № 871н методами, в том числе с использованием средневзвешенной цены из контрактов и договоров заказчика за 12 месяцев и </w:t>
      </w:r>
      <w:proofErr w:type="spellStart"/>
      <w:r w:rsidRPr="00C50EBC">
        <w:rPr>
          <w:color w:val="000000"/>
        </w:rPr>
        <w:t>референтной</w:t>
      </w:r>
      <w:proofErr w:type="spellEnd"/>
      <w:r w:rsidRPr="00C50EBC">
        <w:rPr>
          <w:color w:val="000000"/>
        </w:rPr>
        <w:t xml:space="preserve"> цены, которая рассчитывается автоматически в единой государственной информационной системе в сфере здравоохранения по состоянию на 1 января, 1 апреля, 1 июля, 1 октября и сведения о которой будут переданы в ЕИС.</w:t>
      </w:r>
      <w:proofErr w:type="gramEnd"/>
      <w:r w:rsidRPr="00C50EBC">
        <w:rPr>
          <w:color w:val="000000"/>
        </w:rPr>
        <w:t xml:space="preserve"> За цену единицы планируемого к закупке лекарственного препарата заказчиком принимается минимальное значение цены, определенное установленными в Приказе № 871н методами.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В случае</w:t>
      </w:r>
      <w:proofErr w:type="gramStart"/>
      <w:r w:rsidRPr="00C50EBC">
        <w:rPr>
          <w:color w:val="000000"/>
        </w:rPr>
        <w:t>,</w:t>
      </w:r>
      <w:proofErr w:type="gramEnd"/>
      <w:r w:rsidRPr="00C50EBC">
        <w:rPr>
          <w:color w:val="000000"/>
        </w:rPr>
        <w:t xml:space="preserve"> если на участие в закупке не подано ни одной заявки, заказчик должен использовать сначала </w:t>
      </w:r>
      <w:proofErr w:type="spellStart"/>
      <w:r w:rsidRPr="00C50EBC">
        <w:rPr>
          <w:color w:val="000000"/>
        </w:rPr>
        <w:t>референтную</w:t>
      </w:r>
      <w:proofErr w:type="spellEnd"/>
      <w:r w:rsidRPr="00C50EBC">
        <w:rPr>
          <w:color w:val="000000"/>
        </w:rPr>
        <w:t xml:space="preserve"> цену, а если заявок опять не будет, увеличивать цену на показатель среднеквадратичного отклонения.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Для отдельных случаев несостоявшихся закупок предусмотрена возможность использования максимального значения цены, предусмотренного государственным реестром зарегистрированных предельных отпускных цен производителей на лекарственные препараты, включенные в перечень ЖНВЛП, с учетом эквивалентных лекарственных форм и дозировок; возможна также корректировка цены на индекс-дефлятор, определяемый в прогнозах Минэкономразвития. И только в случае неоднократного признания закупки несостоявшейся из-за отсутствия заявок заказчик сможет рассчитать цену на основании предложений производителей (поставщиков) лекарственных препаратов.</w:t>
      </w:r>
    </w:p>
    <w:p w:rsidR="00545046" w:rsidRDefault="00545046" w:rsidP="00545046">
      <w:pPr>
        <w:pStyle w:val="ae"/>
        <w:spacing w:before="0" w:beforeAutospacing="0" w:after="0" w:afterAutospacing="0" w:line="306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Позиции Минфина России</w:t>
      </w:r>
      <w:r w:rsidR="00D5412E">
        <w:rPr>
          <w:b/>
          <w:bCs/>
          <w:color w:val="000000"/>
        </w:rPr>
        <w:t xml:space="preserve"> в части применения законодательства о контрактной системе:</w:t>
      </w:r>
    </w:p>
    <w:p w:rsidR="00545046" w:rsidRPr="00C50EBC" w:rsidRDefault="00D5412E" w:rsidP="00545046">
      <w:pPr>
        <w:pStyle w:val="ae"/>
        <w:spacing w:before="0" w:beforeAutospacing="0" w:after="0" w:afterAutospacing="0" w:line="306" w:lineRule="atLeast"/>
        <w:jc w:val="both"/>
        <w:rPr>
          <w:color w:val="000000"/>
        </w:rPr>
      </w:pPr>
      <w:r>
        <w:rPr>
          <w:b/>
          <w:bCs/>
          <w:color w:val="000000"/>
        </w:rPr>
        <w:t>Письмом</w:t>
      </w:r>
      <w:r w:rsidR="00545046" w:rsidRPr="00C50EBC">
        <w:rPr>
          <w:b/>
          <w:bCs/>
          <w:color w:val="000000"/>
        </w:rPr>
        <w:t xml:space="preserve"> от 15 сентября 2017 г. № 24-03-07/61189 дан ответ на вопрос о необходимости размещения в ЕИС отчета после каждой приемки и оплаты товара.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На основании анализа норм Постановления Правительства от 28.11.2013 № 1093 Минфин России пришел к выводу о том, что отчет об исполнении контракта подлежит размещению при осуществлении заказчиком в совокупности приемки и оплаты поставленного товара, выполненной работы, оказанной услуги, в том числе при отсутствии в контракте выделенных этапов его исполнения.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Таким образом, обязанность по размещению в ЕИС отчета возникает у заказчика после оплаты принятого товара, работы, услуги, в том числе частичной приемки (приемок) товара, работы, услуги вне зависимости от установления этапов в контракте.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Минфин России дополнительно отметил, что Закон № 44-ФЗ не содержит исчерпывающего содержания понятия этапа исполнения контракта, однако указанное не влечет отсутствие необходимости размещения отчета в соответствии с требованиями Постановления № 1093. При этом Минфин России дополнительно рассмотрит вопрос об упрощении порядка размещения отчета, ведения реестра контрактов, заключенных заказчиками, исключив необходимость размещения дублирующей информации в ЕИС.</w:t>
      </w:r>
    </w:p>
    <w:p w:rsidR="00545046" w:rsidRPr="00C50EBC" w:rsidRDefault="00D5412E" w:rsidP="00545046">
      <w:pPr>
        <w:pStyle w:val="ae"/>
        <w:spacing w:before="0" w:beforeAutospacing="0" w:after="0" w:afterAutospacing="0" w:line="306" w:lineRule="atLeast"/>
        <w:jc w:val="both"/>
        <w:rPr>
          <w:color w:val="000000"/>
        </w:rPr>
      </w:pPr>
      <w:r>
        <w:rPr>
          <w:b/>
          <w:bCs/>
          <w:color w:val="000000"/>
        </w:rPr>
        <w:t>Письмом</w:t>
      </w:r>
      <w:r w:rsidR="00545046" w:rsidRPr="00C50EBC">
        <w:rPr>
          <w:b/>
          <w:bCs/>
          <w:color w:val="000000"/>
        </w:rPr>
        <w:t xml:space="preserve"> от 13 октября 2017 г. № 24-02-08/67122 дано разъяснение по вопросу применения антидемпинговых мер</w:t>
      </w:r>
      <w:r w:rsidR="00545046" w:rsidRPr="00C50EBC">
        <w:rPr>
          <w:color w:val="000000"/>
        </w:rPr>
        <w:t> при закупке путем электронного аукциона работ, услуг, объем которых невозможно определить: </w:t>
      </w:r>
      <w:r w:rsidR="00545046" w:rsidRPr="00C50EBC">
        <w:rPr>
          <w:b/>
          <w:bCs/>
          <w:color w:val="000000"/>
        </w:rPr>
        <w:t>антидемпинговые меры в этом случае не применяются</w:t>
      </w:r>
      <w:r w:rsidR="00545046" w:rsidRPr="00C50EBC">
        <w:rPr>
          <w:color w:val="000000"/>
        </w:rPr>
        <w:t>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Как указано в письме, в случае проведения аукциона путем снижения общей начальной (максимальной) цены запасных частей к технике, оборудованию и начальной (максимальной) цены единицы товара, работы или услуги в порядке, установленном частью 5 статьи 68 Закона № 44-ФЗ, снижение начальной (</w:t>
      </w:r>
      <w:proofErr w:type="gramStart"/>
      <w:r w:rsidRPr="00C50EBC">
        <w:rPr>
          <w:color w:val="000000"/>
        </w:rPr>
        <w:t xml:space="preserve">максимальной) </w:t>
      </w:r>
      <w:proofErr w:type="gramEnd"/>
      <w:r w:rsidRPr="00C50EBC">
        <w:rPr>
          <w:color w:val="000000"/>
        </w:rPr>
        <w:t>цены контракта не осуществляется. Следовательно, применение к участникам такого электронного аукциона антидемпинговых мер действующими нормами Закона № 44-ФЗ не предусмотрено.</w:t>
      </w:r>
    </w:p>
    <w:p w:rsidR="00545046" w:rsidRPr="00C50EBC" w:rsidRDefault="00545046" w:rsidP="00545046">
      <w:pPr>
        <w:pStyle w:val="ae"/>
        <w:spacing w:before="0" w:beforeAutospacing="0" w:after="0" w:afterAutospacing="0" w:line="306" w:lineRule="atLeast"/>
        <w:jc w:val="both"/>
        <w:rPr>
          <w:color w:val="000000"/>
        </w:rPr>
      </w:pPr>
      <w:r w:rsidRPr="00C50EBC">
        <w:rPr>
          <w:b/>
          <w:bCs/>
          <w:color w:val="000000"/>
        </w:rPr>
        <w:t>В письме  от 2 октября 2017 г. № 24-05-09/64053 дано разъяснение о невозможности заключения дополнительных соглашений к договорам</w:t>
      </w:r>
      <w:r w:rsidRPr="00C50EBC">
        <w:rPr>
          <w:color w:val="000000"/>
        </w:rPr>
        <w:t>, заключенным ГУПами ранее в рамках закупок по 223-ФЗ, без соблюдения требований закона № 44-ФЗ.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Как отметил Минфин, в соответствии со статьей 432 Гражданского кодекса договор считается заключенным, если между сторонами достигнуто соглашение по всем существенным условиям договора.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В результате заключения дополнительных соглашений, изменяющих существенные условия договора, у сторон возникают новые правоотношения, которые должны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С учетом вышеизложенного Департамент бюджетной политики в сфере контрактной системы считает, что при заключении дополнительных соглашений к договору, изменяющих существенные условия такого договора, в силу пункта 1 статьи 422 ГК РФ следует руководствоваться положениями Закона о контрактной системе.</w:t>
      </w:r>
    </w:p>
    <w:p w:rsidR="00545046" w:rsidRPr="00C50EBC" w:rsidRDefault="00545046" w:rsidP="00545046">
      <w:pPr>
        <w:pStyle w:val="ae"/>
        <w:spacing w:before="0" w:beforeAutospacing="0" w:after="0" w:afterAutospacing="0" w:line="306" w:lineRule="atLeast"/>
        <w:jc w:val="both"/>
        <w:rPr>
          <w:color w:val="000000"/>
        </w:rPr>
      </w:pPr>
      <w:r w:rsidRPr="00C50EBC">
        <w:rPr>
          <w:b/>
          <w:bCs/>
          <w:color w:val="000000"/>
        </w:rPr>
        <w:t>В письме Минфина России от 29 сентября 2017 г. № 24-06-01/63702 указано на невозможность использования выписки из ЕГРЮЛ в электронной форме</w:t>
      </w:r>
      <w:r w:rsidRPr="00C50EBC">
        <w:rPr>
          <w:color w:val="000000"/>
        </w:rPr>
        <w:t> с электронной подписью налогового органа при подписании контракта по результатам запроса котировок.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lastRenderedPageBreak/>
        <w:t>Как отмечает Минфин, исходя из системного толкования нормы части 11 статьи 78 закона № 44-ФЗ, выписка из ЕГРЮЛ должна передаваться победителем запроса котировок одновременно с подписанным контрактом в срок, установленный извещением о проведении запроса котировок, в виде оригинала в бумажной форме или нотариально заверенной копии.</w:t>
      </w:r>
    </w:p>
    <w:p w:rsidR="00545046" w:rsidRPr="00C50EBC" w:rsidRDefault="00545046" w:rsidP="00545046">
      <w:pPr>
        <w:pStyle w:val="ae"/>
        <w:spacing w:before="230" w:beforeAutospacing="0" w:after="230" w:afterAutospacing="0" w:line="306" w:lineRule="atLeast"/>
        <w:jc w:val="both"/>
        <w:rPr>
          <w:color w:val="000000"/>
        </w:rPr>
      </w:pPr>
      <w:r w:rsidRPr="00C50EBC">
        <w:rPr>
          <w:color w:val="000000"/>
        </w:rPr>
        <w:t>В силу части 1 статьи 5 Закона № 44-ФЗ независимо от способа определения поставщика (подрядчика, исполнителя) представление участником закупки электронных документов, в том числе выписки из ЕГРЮЛ, допускается исключительно с использованием ЕИС. В настоящее время функционалом ЕИС не предусмотрена возможность обмена электронными документами при проведении запроса котировок.</w:t>
      </w:r>
    </w:p>
    <w:p w:rsidR="00545046" w:rsidRPr="00C50EBC" w:rsidRDefault="00545046" w:rsidP="00D5412E">
      <w:pPr>
        <w:pStyle w:val="ae"/>
        <w:spacing w:before="230" w:beforeAutospacing="0" w:after="230" w:afterAutospacing="0" w:line="306" w:lineRule="atLeast"/>
        <w:jc w:val="both"/>
      </w:pPr>
      <w:proofErr w:type="gramStart"/>
      <w:r w:rsidRPr="00C50EBC">
        <w:rPr>
          <w:color w:val="000000"/>
        </w:rPr>
        <w:t>Следует отметить, что ранее  Минэкономразвития (письмо Минэкономразвития России от 01.12.2015 № Д28и-3448) указывал</w:t>
      </w:r>
      <w:r w:rsidR="00EB6211">
        <w:rPr>
          <w:color w:val="000000"/>
        </w:rPr>
        <w:t>о</w:t>
      </w:r>
      <w:r w:rsidRPr="00C50EBC">
        <w:rPr>
          <w:color w:val="000000"/>
        </w:rPr>
        <w:t xml:space="preserve"> на допустимость предоставления при заключении контракта по запросу котировок выписки из ЕГРЮЛ в электронной форме, подписанной квалифицированной электронной подписью налогового органа, которая равнозначна выписке на бумажном носителе, подписанной собственноручной подписью должностного лица налогового органа и заверенной печатью, в силу положений статьи 6 Федерального закона от 6 апреля 2011</w:t>
      </w:r>
      <w:proofErr w:type="gramEnd"/>
      <w:r w:rsidRPr="00C50EBC">
        <w:rPr>
          <w:color w:val="000000"/>
        </w:rPr>
        <w:t xml:space="preserve"> г. № 63-ФЗ "Об электронной подписи".</w:t>
      </w:r>
      <w:r w:rsidRPr="00C50EBC">
        <w:rPr>
          <w:b/>
          <w:bCs/>
          <w:color w:val="000000"/>
        </w:rPr>
        <w:t xml:space="preserve"> </w:t>
      </w:r>
    </w:p>
    <w:sectPr w:rsidR="00545046" w:rsidRPr="00C50EBC" w:rsidSect="00962F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BD" w:rsidRDefault="002444BD" w:rsidP="009B2B90">
      <w:pPr>
        <w:spacing w:after="0" w:line="240" w:lineRule="auto"/>
      </w:pPr>
      <w:r>
        <w:separator/>
      </w:r>
    </w:p>
  </w:endnote>
  <w:endnote w:type="continuationSeparator" w:id="0">
    <w:p w:rsidR="002444BD" w:rsidRDefault="002444BD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BD" w:rsidRDefault="002444BD" w:rsidP="009B2B90">
      <w:pPr>
        <w:spacing w:after="0" w:line="240" w:lineRule="auto"/>
      </w:pPr>
      <w:r>
        <w:separator/>
      </w:r>
    </w:p>
  </w:footnote>
  <w:footnote w:type="continuationSeparator" w:id="0">
    <w:p w:rsidR="002444BD" w:rsidRDefault="002444BD" w:rsidP="009B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D"/>
    <w:multiLevelType w:val="multilevel"/>
    <w:tmpl w:val="EE26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D5CC8"/>
    <w:multiLevelType w:val="multilevel"/>
    <w:tmpl w:val="628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2850C3"/>
    <w:multiLevelType w:val="multilevel"/>
    <w:tmpl w:val="FC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0427D"/>
    <w:multiLevelType w:val="multilevel"/>
    <w:tmpl w:val="AE8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0B24DC"/>
    <w:multiLevelType w:val="multilevel"/>
    <w:tmpl w:val="817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C4C38"/>
    <w:multiLevelType w:val="multilevel"/>
    <w:tmpl w:val="8A8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576B1"/>
    <w:multiLevelType w:val="multilevel"/>
    <w:tmpl w:val="502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EF1238"/>
    <w:multiLevelType w:val="multilevel"/>
    <w:tmpl w:val="4D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B90"/>
    <w:rsid w:val="00006497"/>
    <w:rsid w:val="0000649A"/>
    <w:rsid w:val="00095CFC"/>
    <w:rsid w:val="000A4C70"/>
    <w:rsid w:val="000F0FDD"/>
    <w:rsid w:val="001251A5"/>
    <w:rsid w:val="001273E0"/>
    <w:rsid w:val="00134E9A"/>
    <w:rsid w:val="00145EEC"/>
    <w:rsid w:val="00164CE0"/>
    <w:rsid w:val="00176352"/>
    <w:rsid w:val="00191031"/>
    <w:rsid w:val="001A2162"/>
    <w:rsid w:val="001B3C0E"/>
    <w:rsid w:val="001B5013"/>
    <w:rsid w:val="001D58F4"/>
    <w:rsid w:val="001F5AEC"/>
    <w:rsid w:val="00215F4D"/>
    <w:rsid w:val="002240CF"/>
    <w:rsid w:val="002444BD"/>
    <w:rsid w:val="00262893"/>
    <w:rsid w:val="002A6624"/>
    <w:rsid w:val="002B3721"/>
    <w:rsid w:val="002C0E94"/>
    <w:rsid w:val="002E0BAE"/>
    <w:rsid w:val="00302514"/>
    <w:rsid w:val="003423A1"/>
    <w:rsid w:val="00351DD1"/>
    <w:rsid w:val="003559B4"/>
    <w:rsid w:val="003B53ED"/>
    <w:rsid w:val="003D2267"/>
    <w:rsid w:val="003F3E37"/>
    <w:rsid w:val="00406344"/>
    <w:rsid w:val="0041495C"/>
    <w:rsid w:val="004438EA"/>
    <w:rsid w:val="00461999"/>
    <w:rsid w:val="0049709B"/>
    <w:rsid w:val="004F2745"/>
    <w:rsid w:val="00502173"/>
    <w:rsid w:val="005245DF"/>
    <w:rsid w:val="00530168"/>
    <w:rsid w:val="00530A4F"/>
    <w:rsid w:val="00531BAD"/>
    <w:rsid w:val="00545046"/>
    <w:rsid w:val="0055061C"/>
    <w:rsid w:val="00564C14"/>
    <w:rsid w:val="00592577"/>
    <w:rsid w:val="00596F8E"/>
    <w:rsid w:val="005A6D6A"/>
    <w:rsid w:val="005B0C0B"/>
    <w:rsid w:val="005B44FD"/>
    <w:rsid w:val="005B7DD0"/>
    <w:rsid w:val="005E06E9"/>
    <w:rsid w:val="005E5788"/>
    <w:rsid w:val="006155D4"/>
    <w:rsid w:val="00623B07"/>
    <w:rsid w:val="00643DAF"/>
    <w:rsid w:val="00666DC0"/>
    <w:rsid w:val="006C1942"/>
    <w:rsid w:val="006C4BD1"/>
    <w:rsid w:val="006C7F56"/>
    <w:rsid w:val="006D0B3D"/>
    <w:rsid w:val="006D7B8A"/>
    <w:rsid w:val="006E07F6"/>
    <w:rsid w:val="006F18E7"/>
    <w:rsid w:val="00711155"/>
    <w:rsid w:val="0074254A"/>
    <w:rsid w:val="00751CBC"/>
    <w:rsid w:val="0075509B"/>
    <w:rsid w:val="00781D0C"/>
    <w:rsid w:val="007856D3"/>
    <w:rsid w:val="00787A24"/>
    <w:rsid w:val="0079479C"/>
    <w:rsid w:val="007A343A"/>
    <w:rsid w:val="007F00BC"/>
    <w:rsid w:val="007F0B68"/>
    <w:rsid w:val="00803063"/>
    <w:rsid w:val="0080325D"/>
    <w:rsid w:val="008454F7"/>
    <w:rsid w:val="00846568"/>
    <w:rsid w:val="00847A68"/>
    <w:rsid w:val="008829D6"/>
    <w:rsid w:val="008B642F"/>
    <w:rsid w:val="008F5BF6"/>
    <w:rsid w:val="00902BE4"/>
    <w:rsid w:val="00925CAE"/>
    <w:rsid w:val="00931FE1"/>
    <w:rsid w:val="00936039"/>
    <w:rsid w:val="009603E1"/>
    <w:rsid w:val="00962FAE"/>
    <w:rsid w:val="00971EE7"/>
    <w:rsid w:val="009800EE"/>
    <w:rsid w:val="00985E49"/>
    <w:rsid w:val="009A7F68"/>
    <w:rsid w:val="009B2B90"/>
    <w:rsid w:val="009D02B9"/>
    <w:rsid w:val="009D34FE"/>
    <w:rsid w:val="009D71A5"/>
    <w:rsid w:val="009E354B"/>
    <w:rsid w:val="00A442D3"/>
    <w:rsid w:val="00A540C2"/>
    <w:rsid w:val="00A56D78"/>
    <w:rsid w:val="00A74583"/>
    <w:rsid w:val="00A860A4"/>
    <w:rsid w:val="00AE7FB1"/>
    <w:rsid w:val="00B123A2"/>
    <w:rsid w:val="00B15274"/>
    <w:rsid w:val="00B34C92"/>
    <w:rsid w:val="00B623A9"/>
    <w:rsid w:val="00B74C3F"/>
    <w:rsid w:val="00BA5AB2"/>
    <w:rsid w:val="00BB0274"/>
    <w:rsid w:val="00BB0F63"/>
    <w:rsid w:val="00BB69B7"/>
    <w:rsid w:val="00C06D92"/>
    <w:rsid w:val="00C178B5"/>
    <w:rsid w:val="00C472DA"/>
    <w:rsid w:val="00C85F06"/>
    <w:rsid w:val="00CA0AB8"/>
    <w:rsid w:val="00CB1209"/>
    <w:rsid w:val="00CB3144"/>
    <w:rsid w:val="00CB5606"/>
    <w:rsid w:val="00CE7C90"/>
    <w:rsid w:val="00CF0965"/>
    <w:rsid w:val="00D332AA"/>
    <w:rsid w:val="00D515AF"/>
    <w:rsid w:val="00D5412E"/>
    <w:rsid w:val="00D62AB9"/>
    <w:rsid w:val="00D8031E"/>
    <w:rsid w:val="00D83CB1"/>
    <w:rsid w:val="00D8533A"/>
    <w:rsid w:val="00DA3A9F"/>
    <w:rsid w:val="00DE679A"/>
    <w:rsid w:val="00E12203"/>
    <w:rsid w:val="00E233C2"/>
    <w:rsid w:val="00E412A5"/>
    <w:rsid w:val="00E41FAB"/>
    <w:rsid w:val="00E55450"/>
    <w:rsid w:val="00E671EA"/>
    <w:rsid w:val="00E70D79"/>
    <w:rsid w:val="00E97729"/>
    <w:rsid w:val="00EB27A3"/>
    <w:rsid w:val="00EB49F8"/>
    <w:rsid w:val="00EB6211"/>
    <w:rsid w:val="00EB7382"/>
    <w:rsid w:val="00ED661C"/>
    <w:rsid w:val="00F4464F"/>
    <w:rsid w:val="00F8177E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ED66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D661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E679A"/>
  </w:style>
  <w:style w:type="paragraph" w:styleId="ae">
    <w:name w:val="Normal (Web)"/>
    <w:basedOn w:val="a"/>
    <w:uiPriority w:val="99"/>
    <w:unhideWhenUsed/>
    <w:rsid w:val="005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273E0"/>
    <w:rPr>
      <w:color w:val="0000FF"/>
      <w:u w:val="single"/>
    </w:rPr>
  </w:style>
  <w:style w:type="paragraph" w:styleId="af0">
    <w:name w:val="Title"/>
    <w:basedOn w:val="a"/>
    <w:link w:val="af1"/>
    <w:qFormat/>
    <w:rsid w:val="007F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1">
    <w:name w:val="Название Знак"/>
    <w:basedOn w:val="a0"/>
    <w:link w:val="af0"/>
    <w:rsid w:val="007F00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0"/>
    <w:rsid w:val="007F00BC"/>
  </w:style>
  <w:style w:type="paragraph" w:styleId="af2">
    <w:name w:val="No Spacing"/>
    <w:uiPriority w:val="1"/>
    <w:qFormat/>
    <w:rsid w:val="00D83CB1"/>
    <w:pPr>
      <w:spacing w:after="0" w:line="240" w:lineRule="auto"/>
    </w:pPr>
    <w:rPr>
      <w:rFonts w:eastAsiaTheme="minorHAnsi"/>
      <w:lang w:eastAsia="en-US"/>
    </w:rPr>
  </w:style>
  <w:style w:type="paragraph" w:customStyle="1" w:styleId="attachmentsitem">
    <w:name w:val="attachments__item"/>
    <w:basedOn w:val="a"/>
    <w:rsid w:val="006E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6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971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28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77573;dst=100015" TargetMode="External"/><Relationship Id="rId13" Type="http://schemas.openxmlformats.org/officeDocument/2006/relationships/hyperlink" Target="consultantplus://offline/ref=main?base=LAW;n=279476;dst=1010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277573;dst=100005" TargetMode="External"/><Relationship Id="rId17" Type="http://schemas.openxmlformats.org/officeDocument/2006/relationships/hyperlink" Target="consultantplus://offline/ref=main?base=LAW;n=192068;dst=10047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216823;dst=1000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277573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216823;dst=100060" TargetMode="External"/><Relationship Id="rId10" Type="http://schemas.openxmlformats.org/officeDocument/2006/relationships/hyperlink" Target="consultantplus://offline/ref=main?base=LAW;n=277573;dst=100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77573;dst=100012" TargetMode="External"/><Relationship Id="rId14" Type="http://schemas.openxmlformats.org/officeDocument/2006/relationships/hyperlink" Target="consultantplus://offline/ref=main?base=LAW;n=277573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09BF-73F9-414A-8BA4-C072E1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to63-psetko</dc:creator>
  <cp:lastModifiedBy>Юлия Сергеевна</cp:lastModifiedBy>
  <cp:revision>3</cp:revision>
  <cp:lastPrinted>2017-09-14T13:14:00Z</cp:lastPrinted>
  <dcterms:created xsi:type="dcterms:W3CDTF">2017-12-13T08:52:00Z</dcterms:created>
  <dcterms:modified xsi:type="dcterms:W3CDTF">2017-12-13T14:38:00Z</dcterms:modified>
</cp:coreProperties>
</file>