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w:t>
      </w:r>
      <w:r w:rsidRPr="006E03ED">
        <w:rPr>
          <w:b/>
          <w:bCs/>
          <w:sz w:val="28"/>
          <w:szCs w:val="28"/>
        </w:rPr>
        <w:lastRenderedPageBreak/>
        <w:t>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BA6A13"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BA6A13"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антиконкурентного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w:t>
      </w:r>
      <w:r w:rsidRPr="006E03ED">
        <w:rPr>
          <w:bCs/>
          <w:sz w:val="28"/>
          <w:szCs w:val="28"/>
        </w:rPr>
        <w:lastRenderedPageBreak/>
        <w:t xml:space="preserve">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 xml:space="preserve">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w:t>
      </w:r>
      <w:r w:rsidRPr="006E03ED">
        <w:rPr>
          <w:bCs/>
          <w:sz w:val="28"/>
          <w:szCs w:val="28"/>
        </w:rPr>
        <w:lastRenderedPageBreak/>
        <w:t>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lastRenderedPageBreak/>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lastRenderedPageBreak/>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lastRenderedPageBreak/>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lastRenderedPageBreak/>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Таким образом, для определения допустимости «вертикального» соглашения в соответствии с частью 2 статьи 12 Закона о защите конкуренции </w:t>
      </w:r>
      <w:r w:rsidRPr="006E03ED">
        <w:rPr>
          <w:sz w:val="28"/>
          <w:szCs w:val="28"/>
        </w:rPr>
        <w:lastRenderedPageBreak/>
        <w:t>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w:t>
      </w:r>
      <w:r w:rsidRPr="006E03ED">
        <w:rPr>
          <w:sz w:val="28"/>
          <w:szCs w:val="28"/>
        </w:rPr>
        <w:lastRenderedPageBreak/>
        <w:t xml:space="preserve">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w:t>
      </w:r>
      <w:r w:rsidRPr="006E03ED">
        <w:rPr>
          <w:sz w:val="28"/>
          <w:szCs w:val="28"/>
        </w:rPr>
        <w:lastRenderedPageBreak/>
        <w:t>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xml:space="preserve">; оценка положения хозяйствующего субъекта на товарном рынке; противоправное поведение, составляющее злоупотребление </w:t>
      </w:r>
      <w:r w:rsidRPr="00140A44">
        <w:rPr>
          <w:sz w:val="28"/>
          <w:szCs w:val="28"/>
        </w:rPr>
        <w:lastRenderedPageBreak/>
        <w:t>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lastRenderedPageBreak/>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w:t>
      </w:r>
      <w:r w:rsidRPr="00140A44">
        <w:rPr>
          <w:sz w:val="28"/>
          <w:szCs w:val="28"/>
        </w:rPr>
        <w:lastRenderedPageBreak/>
        <w:t>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w:t>
      </w:r>
      <w:r w:rsidRPr="00140A44">
        <w:rPr>
          <w:sz w:val="28"/>
          <w:szCs w:val="28"/>
        </w:rPr>
        <w:lastRenderedPageBreak/>
        <w:t>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lastRenderedPageBreak/>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w:t>
      </w:r>
      <w:r w:rsidRPr="00140A44">
        <w:rPr>
          <w:sz w:val="28"/>
          <w:szCs w:val="28"/>
        </w:rPr>
        <w:lastRenderedPageBreak/>
        <w:t>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Единственным учредителем предприятия-должника ООО «Карбон», в рамках процедуры банкротства которого проводились торги по реализации </w:t>
      </w:r>
      <w:r w:rsidRPr="00140A44">
        <w:rPr>
          <w:sz w:val="28"/>
          <w:szCs w:val="28"/>
        </w:rPr>
        <w:lastRenderedPageBreak/>
        <w:t>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w:t>
      </w:r>
      <w:r w:rsidRPr="00140A44">
        <w:rPr>
          <w:sz w:val="28"/>
          <w:szCs w:val="28"/>
        </w:rPr>
        <w:lastRenderedPageBreak/>
        <w:t xml:space="preserve">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lastRenderedPageBreak/>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 xml:space="preserve">на решение и предписание № 2 УФАС России по Новосибирской области от </w:t>
      </w:r>
      <w:r w:rsidRPr="00140A44">
        <w:rPr>
          <w:sz w:val="28"/>
          <w:szCs w:val="28"/>
        </w:rPr>
        <w:lastRenderedPageBreak/>
        <w:t>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w:t>
      </w:r>
      <w:r w:rsidRPr="00DA0A71">
        <w:rPr>
          <w:b/>
          <w:i/>
          <w:sz w:val="28"/>
          <w:szCs w:val="28"/>
        </w:rPr>
        <w:lastRenderedPageBreak/>
        <w:t>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lastRenderedPageBreak/>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lastRenderedPageBreak/>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lastRenderedPageBreak/>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w:t>
      </w:r>
      <w:r w:rsidRPr="00140A44">
        <w:rPr>
          <w:sz w:val="28"/>
          <w:szCs w:val="28"/>
        </w:rPr>
        <w:lastRenderedPageBreak/>
        <w:t xml:space="preserve">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lastRenderedPageBreak/>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 xml:space="preserve">Федеральной антимонопольной службой разработан Проект федерального закона «О внесении изменений в Федеральный закон «О защите </w:t>
      </w:r>
      <w:r w:rsidRPr="001E6FC7">
        <w:rPr>
          <w:sz w:val="28"/>
          <w:szCs w:val="28"/>
        </w:rPr>
        <w:lastRenderedPageBreak/>
        <w:t>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r>
      <w:r w:rsidRPr="001E6FC7">
        <w:rPr>
          <w:sz w:val="28"/>
          <w:szCs w:val="28"/>
        </w:rPr>
        <w:lastRenderedPageBreak/>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lastRenderedPageBreak/>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 xml:space="preserve">В настоящее время положениями Федерального закона от 26.07.2006 №135-Ф3 «О защите конкуренции» (далее - Закон о защите конкуренции) </w:t>
      </w:r>
      <w:r w:rsidRPr="001E6FC7">
        <w:rPr>
          <w:sz w:val="28"/>
          <w:szCs w:val="28"/>
        </w:rPr>
        <w:lastRenderedPageBreak/>
        <w:t>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w:t>
      </w:r>
      <w:r w:rsidRPr="001E6FC7">
        <w:rPr>
          <w:sz w:val="28"/>
          <w:szCs w:val="28"/>
        </w:rPr>
        <w:lastRenderedPageBreak/>
        <w:t xml:space="preserve">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lastRenderedPageBreak/>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lastRenderedPageBreak/>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lastRenderedPageBreak/>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r>
      <w:r w:rsidRPr="007A17BB">
        <w:rPr>
          <w:sz w:val="28"/>
          <w:szCs w:val="28"/>
        </w:rPr>
        <w:lastRenderedPageBreak/>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w:t>
      </w:r>
      <w:r w:rsidRPr="007A17BB">
        <w:rPr>
          <w:sz w:val="28"/>
          <w:szCs w:val="28"/>
        </w:rPr>
        <w:lastRenderedPageBreak/>
        <w:t>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13" w:rsidRDefault="00BA6A13" w:rsidP="0060395C">
      <w:pPr>
        <w:spacing w:after="0" w:line="240" w:lineRule="auto"/>
      </w:pPr>
      <w:r>
        <w:separator/>
      </w:r>
    </w:p>
  </w:endnote>
  <w:endnote w:type="continuationSeparator" w:id="0">
    <w:p w:rsidR="00BA6A13" w:rsidRDefault="00BA6A13"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06798C">
          <w:rPr>
            <w:noProof/>
          </w:rPr>
          <w:t>1</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13" w:rsidRDefault="00BA6A13" w:rsidP="0060395C">
      <w:pPr>
        <w:spacing w:after="0" w:line="240" w:lineRule="auto"/>
      </w:pPr>
      <w:r>
        <w:separator/>
      </w:r>
    </w:p>
  </w:footnote>
  <w:footnote w:type="continuationSeparator" w:id="0">
    <w:p w:rsidR="00BA6A13" w:rsidRDefault="00BA6A13"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6798C"/>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95C"/>
    <w:rsid w:val="0060471E"/>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9C577F"/>
    <w:rsid w:val="00A24F14"/>
    <w:rsid w:val="00A41187"/>
    <w:rsid w:val="00A443B0"/>
    <w:rsid w:val="00AF4C99"/>
    <w:rsid w:val="00B01B3B"/>
    <w:rsid w:val="00B26651"/>
    <w:rsid w:val="00B3003B"/>
    <w:rsid w:val="00B40345"/>
    <w:rsid w:val="00B411B1"/>
    <w:rsid w:val="00B90531"/>
    <w:rsid w:val="00BA6A13"/>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F39D5-7E89-47A7-9C28-D58053C2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0" Type="http://schemas.openxmlformats.org/officeDocument/2006/relationships/hyperlink" Target="consultantplus://offline/ref=343B1993C5FD204A2E04C8FF0D39E17B0760D592EFBFB25210210346CAC32092C4ED456829D8G0M" TargetMode="External"/><Relationship Id="rId41"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1699985376"/>
        <c:axId val="-1699980480"/>
      </c:lineChart>
      <c:catAx>
        <c:axId val="-16999853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99980480"/>
        <c:crosses val="autoZero"/>
        <c:auto val="1"/>
        <c:lblAlgn val="ctr"/>
        <c:lblOffset val="100"/>
        <c:noMultiLvlLbl val="0"/>
      </c:catAx>
      <c:valAx>
        <c:axId val="-1699980480"/>
        <c:scaling>
          <c:orientation val="minMax"/>
          <c:max val="52000"/>
          <c:min val="0"/>
        </c:scaling>
        <c:delete val="1"/>
        <c:axPos val="l"/>
        <c:numFmt formatCode="General" sourceLinked="1"/>
        <c:majorTickMark val="out"/>
        <c:minorTickMark val="none"/>
        <c:tickLblPos val="nextTo"/>
        <c:crossAx val="-1699985376"/>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792526240"/>
        <c:axId val="-1792524064"/>
      </c:barChart>
      <c:catAx>
        <c:axId val="-179252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4064"/>
        <c:crosses val="autoZero"/>
        <c:auto val="1"/>
        <c:lblAlgn val="ctr"/>
        <c:lblOffset val="100"/>
        <c:noMultiLvlLbl val="0"/>
      </c:catAx>
      <c:valAx>
        <c:axId val="-1792524064"/>
        <c:scaling>
          <c:orientation val="minMax"/>
        </c:scaling>
        <c:delete val="1"/>
        <c:axPos val="l"/>
        <c:numFmt formatCode="General" sourceLinked="1"/>
        <c:majorTickMark val="none"/>
        <c:minorTickMark val="none"/>
        <c:tickLblPos val="nextTo"/>
        <c:crossAx val="-179252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1792521888"/>
        <c:axId val="-1792522432"/>
      </c:lineChart>
      <c:catAx>
        <c:axId val="-179252188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792522432"/>
        <c:crosses val="autoZero"/>
        <c:auto val="1"/>
        <c:lblAlgn val="ctr"/>
        <c:lblOffset val="100"/>
        <c:noMultiLvlLbl val="0"/>
      </c:catAx>
      <c:valAx>
        <c:axId val="-1792522432"/>
        <c:scaling>
          <c:orientation val="minMax"/>
        </c:scaling>
        <c:delete val="1"/>
        <c:axPos val="l"/>
        <c:numFmt formatCode="General" sourceLinked="1"/>
        <c:majorTickMark val="none"/>
        <c:minorTickMark val="none"/>
        <c:tickLblPos val="nextTo"/>
        <c:crossAx val="-179252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1792521344"/>
        <c:axId val="-1792528416"/>
      </c:barChart>
      <c:catAx>
        <c:axId val="-179252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8416"/>
        <c:crosses val="autoZero"/>
        <c:auto val="1"/>
        <c:lblAlgn val="ctr"/>
        <c:lblOffset val="100"/>
        <c:noMultiLvlLbl val="0"/>
      </c:catAx>
      <c:valAx>
        <c:axId val="-1792528416"/>
        <c:scaling>
          <c:orientation val="minMax"/>
        </c:scaling>
        <c:delete val="1"/>
        <c:axPos val="l"/>
        <c:numFmt formatCode="General" sourceLinked="1"/>
        <c:majorTickMark val="none"/>
        <c:minorTickMark val="none"/>
        <c:tickLblPos val="nextTo"/>
        <c:crossAx val="-179252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1792527872"/>
        <c:axId val="-1792527328"/>
      </c:barChart>
      <c:catAx>
        <c:axId val="-17925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792527328"/>
        <c:crosses val="autoZero"/>
        <c:auto val="1"/>
        <c:lblAlgn val="ctr"/>
        <c:lblOffset val="100"/>
        <c:noMultiLvlLbl val="0"/>
      </c:catAx>
      <c:valAx>
        <c:axId val="-1792527328"/>
        <c:scaling>
          <c:orientation val="minMax"/>
        </c:scaling>
        <c:delete val="1"/>
        <c:axPos val="l"/>
        <c:numFmt formatCode="General" sourceLinked="1"/>
        <c:majorTickMark val="none"/>
        <c:minorTickMark val="none"/>
        <c:tickLblPos val="nextTo"/>
        <c:crossAx val="-179252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1792526784"/>
        <c:axId val="-1696101824"/>
      </c:areaChart>
      <c:catAx>
        <c:axId val="-1792526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6101824"/>
        <c:crosses val="autoZero"/>
        <c:auto val="1"/>
        <c:lblAlgn val="ctr"/>
        <c:lblOffset val="100"/>
        <c:noMultiLvlLbl val="0"/>
      </c:catAx>
      <c:valAx>
        <c:axId val="-1696101824"/>
        <c:scaling>
          <c:orientation val="minMax"/>
          <c:max val="700"/>
          <c:min val="0"/>
        </c:scaling>
        <c:delete val="1"/>
        <c:axPos val="l"/>
        <c:numFmt formatCode="General" sourceLinked="1"/>
        <c:majorTickMark val="out"/>
        <c:minorTickMark val="none"/>
        <c:tickLblPos val="nextTo"/>
        <c:crossAx val="-1792526784"/>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1696102368"/>
        <c:axId val="-1696099104"/>
      </c:barChart>
      <c:catAx>
        <c:axId val="-169610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6099104"/>
        <c:crosses val="autoZero"/>
        <c:auto val="1"/>
        <c:lblAlgn val="ctr"/>
        <c:lblOffset val="100"/>
        <c:noMultiLvlLbl val="0"/>
      </c:catAx>
      <c:valAx>
        <c:axId val="-1696099104"/>
        <c:scaling>
          <c:orientation val="minMax"/>
        </c:scaling>
        <c:delete val="1"/>
        <c:axPos val="b"/>
        <c:numFmt formatCode="General" sourceLinked="1"/>
        <c:majorTickMark val="none"/>
        <c:minorTickMark val="none"/>
        <c:tickLblPos val="nextTo"/>
        <c:crossAx val="-1696102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1696103456"/>
        <c:axId val="-1696106176"/>
      </c:lineChart>
      <c:catAx>
        <c:axId val="-169610345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96106176"/>
        <c:crosses val="autoZero"/>
        <c:auto val="1"/>
        <c:lblAlgn val="ctr"/>
        <c:lblOffset val="100"/>
        <c:noMultiLvlLbl val="0"/>
      </c:catAx>
      <c:valAx>
        <c:axId val="-1696106176"/>
        <c:scaling>
          <c:orientation val="minMax"/>
        </c:scaling>
        <c:delete val="1"/>
        <c:axPos val="l"/>
        <c:numFmt formatCode="General" sourceLinked="1"/>
        <c:majorTickMark val="none"/>
        <c:minorTickMark val="none"/>
        <c:tickLblPos val="nextTo"/>
        <c:crossAx val="-1696103456"/>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1696105632"/>
        <c:axId val="-1696101280"/>
      </c:lineChart>
      <c:catAx>
        <c:axId val="-169610563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96101280"/>
        <c:crosses val="autoZero"/>
        <c:auto val="1"/>
        <c:lblAlgn val="ctr"/>
        <c:lblOffset val="100"/>
        <c:noMultiLvlLbl val="0"/>
      </c:catAx>
      <c:valAx>
        <c:axId val="-1696101280"/>
        <c:scaling>
          <c:orientation val="minMax"/>
        </c:scaling>
        <c:delete val="1"/>
        <c:axPos val="l"/>
        <c:numFmt formatCode="General" sourceLinked="1"/>
        <c:majorTickMark val="none"/>
        <c:minorTickMark val="none"/>
        <c:tickLblPos val="nextTo"/>
        <c:crossAx val="-169610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1696104544"/>
        <c:axId val="-1696104000"/>
      </c:barChart>
      <c:catAx>
        <c:axId val="-169610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6104000"/>
        <c:crosses val="autoZero"/>
        <c:auto val="1"/>
        <c:lblAlgn val="ctr"/>
        <c:lblOffset val="100"/>
        <c:noMultiLvlLbl val="0"/>
      </c:catAx>
      <c:valAx>
        <c:axId val="-1696104000"/>
        <c:scaling>
          <c:orientation val="minMax"/>
        </c:scaling>
        <c:delete val="1"/>
        <c:axPos val="l"/>
        <c:numFmt formatCode="0%" sourceLinked="1"/>
        <c:majorTickMark val="none"/>
        <c:minorTickMark val="none"/>
        <c:tickLblPos val="nextTo"/>
        <c:crossAx val="-169610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1696102912"/>
        <c:axId val="-1696100192"/>
      </c:barChart>
      <c:catAx>
        <c:axId val="-16961029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6100192"/>
        <c:crosses val="autoZero"/>
        <c:auto val="1"/>
        <c:lblAlgn val="ctr"/>
        <c:lblOffset val="100"/>
        <c:noMultiLvlLbl val="0"/>
      </c:catAx>
      <c:valAx>
        <c:axId val="-1696100192"/>
        <c:scaling>
          <c:orientation val="minMax"/>
          <c:max val="25000"/>
          <c:min val="0"/>
        </c:scaling>
        <c:delete val="1"/>
        <c:axPos val="b"/>
        <c:numFmt formatCode="General" sourceLinked="1"/>
        <c:majorTickMark val="out"/>
        <c:minorTickMark val="none"/>
        <c:tickLblPos val="nextTo"/>
        <c:crossAx val="-169610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1699979936"/>
        <c:axId val="-1699978304"/>
      </c:areaChart>
      <c:catAx>
        <c:axId val="-1699979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9978304"/>
        <c:crosses val="autoZero"/>
        <c:auto val="1"/>
        <c:lblAlgn val="ctr"/>
        <c:lblOffset val="100"/>
        <c:noMultiLvlLbl val="0"/>
      </c:catAx>
      <c:valAx>
        <c:axId val="-1699978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9979936"/>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1699982112"/>
        <c:axId val="-1699979392"/>
      </c:lineChart>
      <c:catAx>
        <c:axId val="-169998211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99979392"/>
        <c:crosses val="autoZero"/>
        <c:auto val="1"/>
        <c:lblAlgn val="ctr"/>
        <c:lblOffset val="100"/>
        <c:noMultiLvlLbl val="0"/>
      </c:catAx>
      <c:valAx>
        <c:axId val="-1699979392"/>
        <c:scaling>
          <c:orientation val="minMax"/>
        </c:scaling>
        <c:delete val="1"/>
        <c:axPos val="l"/>
        <c:numFmt formatCode="General" sourceLinked="1"/>
        <c:majorTickMark val="out"/>
        <c:minorTickMark val="none"/>
        <c:tickLblPos val="nextTo"/>
        <c:crossAx val="-1699982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699981024"/>
        <c:axId val="-1699984288"/>
      </c:barChart>
      <c:catAx>
        <c:axId val="-169998102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99984288"/>
        <c:crosses val="autoZero"/>
        <c:auto val="1"/>
        <c:lblAlgn val="ctr"/>
        <c:lblOffset val="100"/>
        <c:noMultiLvlLbl val="0"/>
      </c:catAx>
      <c:valAx>
        <c:axId val="-1699984288"/>
        <c:scaling>
          <c:orientation val="minMax"/>
        </c:scaling>
        <c:delete val="1"/>
        <c:axPos val="l"/>
        <c:numFmt formatCode="General" sourceLinked="1"/>
        <c:majorTickMark val="out"/>
        <c:minorTickMark val="none"/>
        <c:tickLblPos val="nextTo"/>
        <c:crossAx val="-169998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699983744"/>
        <c:axId val="-1699981568"/>
      </c:barChart>
      <c:catAx>
        <c:axId val="-169998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9981568"/>
        <c:crosses val="autoZero"/>
        <c:auto val="1"/>
        <c:lblAlgn val="ctr"/>
        <c:lblOffset val="100"/>
        <c:noMultiLvlLbl val="0"/>
      </c:catAx>
      <c:valAx>
        <c:axId val="-1699981568"/>
        <c:scaling>
          <c:orientation val="minMax"/>
        </c:scaling>
        <c:delete val="1"/>
        <c:axPos val="l"/>
        <c:numFmt formatCode="General" sourceLinked="1"/>
        <c:majorTickMark val="none"/>
        <c:minorTickMark val="none"/>
        <c:tickLblPos val="nextTo"/>
        <c:crossAx val="-169998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1699983200"/>
        <c:axId val="-1699982656"/>
      </c:barChart>
      <c:catAx>
        <c:axId val="-16999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99982656"/>
        <c:crosses val="autoZero"/>
        <c:auto val="1"/>
        <c:lblAlgn val="ctr"/>
        <c:lblOffset val="100"/>
        <c:noMultiLvlLbl val="0"/>
      </c:catAx>
      <c:valAx>
        <c:axId val="-1699982656"/>
        <c:scaling>
          <c:orientation val="minMax"/>
        </c:scaling>
        <c:delete val="1"/>
        <c:axPos val="l"/>
        <c:numFmt formatCode="0%" sourceLinked="1"/>
        <c:majorTickMark val="none"/>
        <c:minorTickMark val="none"/>
        <c:tickLblPos val="nextTo"/>
        <c:crossAx val="-1699983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1693052624"/>
        <c:axId val="-1792523520"/>
      </c:lineChart>
      <c:catAx>
        <c:axId val="-16930526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792523520"/>
        <c:crosses val="autoZero"/>
        <c:auto val="1"/>
        <c:lblAlgn val="ctr"/>
        <c:lblOffset val="100"/>
        <c:noMultiLvlLbl val="0"/>
      </c:catAx>
      <c:valAx>
        <c:axId val="-1792523520"/>
        <c:scaling>
          <c:orientation val="minMax"/>
        </c:scaling>
        <c:delete val="1"/>
        <c:axPos val="l"/>
        <c:numFmt formatCode="General" sourceLinked="1"/>
        <c:majorTickMark val="none"/>
        <c:minorTickMark val="none"/>
        <c:tickLblPos val="nextTo"/>
        <c:crossAx val="-169305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1792525696"/>
        <c:axId val="-1792525152"/>
      </c:areaChart>
      <c:catAx>
        <c:axId val="-1792525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5152"/>
        <c:crosses val="autoZero"/>
        <c:auto val="1"/>
        <c:lblAlgn val="ctr"/>
        <c:lblOffset val="100"/>
        <c:noMultiLvlLbl val="0"/>
      </c:catAx>
      <c:valAx>
        <c:axId val="-1792525152"/>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5696"/>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1792524608"/>
        <c:axId val="-1792522976"/>
      </c:areaChart>
      <c:catAx>
        <c:axId val="-1792524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2976"/>
        <c:crosses val="autoZero"/>
        <c:auto val="1"/>
        <c:lblAlgn val="ctr"/>
        <c:lblOffset val="100"/>
        <c:noMultiLvlLbl val="0"/>
      </c:catAx>
      <c:valAx>
        <c:axId val="-1792522976"/>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792524608"/>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1795-9FF6-42AC-8C7C-3D010083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Бекиева Лариса Николаевна</cp:lastModifiedBy>
  <cp:revision>2</cp:revision>
  <dcterms:created xsi:type="dcterms:W3CDTF">2019-04-05T07:25:00Z</dcterms:created>
  <dcterms:modified xsi:type="dcterms:W3CDTF">2019-04-05T07:25:00Z</dcterms:modified>
</cp:coreProperties>
</file>